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614"/>
        <w:gridCol w:w="1437"/>
        <w:gridCol w:w="1390"/>
        <w:gridCol w:w="1420"/>
        <w:gridCol w:w="1410"/>
        <w:gridCol w:w="1192"/>
      </w:tblGrid>
      <w:tr w14:paraId="7FEC8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9AC9">
            <w:pPr>
              <w:textAlignment w:val="bottom"/>
              <w:rPr>
                <w:rFonts w:hint="eastAsia" w:cs="宋体" w:asciiTheme="minorEastAsia" w:hAnsiTheme="minorEastAsia" w:eastAsiaTheme="minorEastAsia"/>
                <w:sz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</w:rPr>
              <w:t>附件3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D248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1F604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7B378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EF64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89F46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395E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194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F866B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cs="宋体" w:asciiTheme="minorEastAsia" w:hAnsiTheme="minorEastAsia" w:eastAsiaTheme="minorEastAsia"/>
                <w:sz w:val="36"/>
                <w:szCs w:val="36"/>
                <w:lang w:bidi="ar"/>
              </w:rPr>
              <w:t>湛江诚通综合物流园项目（二期）水土保持（方案编制及验收阶段）工作商务偏离情况表</w:t>
            </w:r>
          </w:p>
        </w:tc>
      </w:tr>
      <w:bookmarkEnd w:id="0"/>
      <w:tr w14:paraId="47DF2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0650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EB9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196215</wp:posOffset>
                      </wp:positionV>
                      <wp:extent cx="838200" cy="28575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554480" y="195707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75850"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sz w:val="24"/>
                                      <w:lang w:bidi="ar"/>
                                    </w:rPr>
                                    <w:t>商务内容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8pt;margin-top:15.45pt;height:22.5pt;width:66pt;z-index:251660288;mso-width-relative:page;mso-height-relative:page;" fillcolor="#FFFFFF [3201]" filled="t" stroked="f" coordsize="21600,21600" o:gfxdata="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G9lEdMAAAAI&#10;AQAADwAAAAAAAAABACAAAAAiAAAAZHJzL2Rvd25yZXYueG1sUEsBAhQAFAAAAAgAh07iQExy+9Ja&#10;AgAAmgQAAA4AAAAAAAAAAQAgAAAAIg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2B75850"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lang w:bidi="ar"/>
                              </w:rPr>
                              <w:t>商务内容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28575</wp:posOffset>
                      </wp:positionV>
                      <wp:extent cx="4199890" cy="436245"/>
                      <wp:effectExtent l="635" t="4445" r="9525" b="1651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9230" y="1842770"/>
                                <a:ext cx="4199890" cy="43624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2.25pt;height:34.35pt;width:330.7pt;z-index:251659264;mso-width-relative:page;mso-height-relative:page;" filled="f" stroked="t" coordsize="21600,21600" o:gfxdata="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mGAu&#10;1wAAAAcBAAAPAAAAAAAAAAEAIAAAACIAAABkcnMvZG93bnJldi54bWxQSwECFAAUAAAACACHTuJA&#10;Ar902ukBAACpAwAADgAAAAAAAAABACAAAAAmAQAAZHJzL2Uyb0RvYy54bWxQSwUGAAAAAAYABgBZ&#10;AQAAgQUAAAAA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                                  </w:t>
            </w:r>
          </w:p>
          <w:p w14:paraId="12CA4F4E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                                         供应商名称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512233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99E794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55E5B8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8C3B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6C25260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lang w:bidi="ar"/>
              </w:rPr>
              <w:t>备注</w:t>
            </w:r>
          </w:p>
        </w:tc>
      </w:tr>
      <w:tr w14:paraId="6673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FC6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1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E6E3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是否提供营业执照副本复印件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8B41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E898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00F7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ACDF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9978FC7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036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17F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2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A630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是否提供一般纳税人资格证明文件（如为一般纳税人需提供）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6DA8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A749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92E2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A925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0289707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38A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A58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3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E40F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是否具备相关行政主管部门核发的相关水土保持咨询服务资质，并提供资质证书复印件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1CEDD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9F611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18E5D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F7BB9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5561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3F6FC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FC16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4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BA26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供应商名称是否与营业执照、资质证书一致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01BB3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A357FA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2E344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5928C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5CF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44D8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594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40B4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是否能够通过“信用中国（www.creditchina.gov.cn）”查询，未被列入失信被执行人、重大税收违法案件当事人名单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048B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2974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22A2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4C02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DA8C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238E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A1E7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FC53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近三年（2021年10月至今）是否承担过类似水土保持咨询服务项目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0DB15">
            <w:pP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1BA27">
            <w:pP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F3805">
            <w:pP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4E717">
            <w:pP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3DF0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4464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1074B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E191D4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是否为联合体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33BB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14BDF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89A09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9ED95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74AD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5181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8EC4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E406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是否存在合同条款偏离情况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58687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6ECC4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601A2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962F2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8F24"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78E3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FAB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CC79">
            <w:pPr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是否按询比价公告要求密封报价文件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60045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52763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4F661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CB2EA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8A661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5D35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A8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结论：</w:t>
            </w:r>
          </w:p>
        </w:tc>
        <w:tc>
          <w:tcPr>
            <w:tcW w:w="1227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652C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存在商务偏离情况的供应商有</w:t>
            </w:r>
            <w:r>
              <w:rPr>
                <w:rStyle w:val="12"/>
                <w:rFonts w:hint="default" w:asciiTheme="minorEastAsia" w:hAnsiTheme="minorEastAsia" w:eastAsiaTheme="minorEastAsia"/>
                <w:color w:val="000000"/>
                <w:lang w:bidi="ar"/>
              </w:rPr>
              <w:t xml:space="preserve">   </w:t>
            </w:r>
            <w:r>
              <w:rPr>
                <w:rStyle w:val="13"/>
                <w:rFonts w:hint="default" w:asciiTheme="minorEastAsia" w:hAnsiTheme="minorEastAsia" w:eastAsiaTheme="minorEastAsia"/>
                <w:color w:val="000000"/>
                <w:lang w:bidi="ar"/>
              </w:rPr>
              <w:t>家（如有，请在备注处分别列明），其余</w:t>
            </w:r>
            <w:r>
              <w:rPr>
                <w:rStyle w:val="12"/>
                <w:rFonts w:hint="default" w:asciiTheme="minorEastAsia" w:hAnsiTheme="minorEastAsia" w:eastAsiaTheme="minorEastAsia"/>
                <w:color w:val="000000"/>
                <w:lang w:bidi="ar"/>
              </w:rPr>
              <w:t xml:space="preserve">  </w:t>
            </w:r>
            <w:r>
              <w:rPr>
                <w:rStyle w:val="13"/>
                <w:rFonts w:hint="default" w:asciiTheme="minorEastAsia" w:hAnsiTheme="minorEastAsia" w:eastAsiaTheme="minorEastAsia"/>
                <w:color w:val="000000"/>
                <w:lang w:bidi="ar"/>
              </w:rPr>
              <w:t>家均无商务偏离。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A4F67">
            <w:pPr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24A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BA883A">
            <w:pP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注：请评审人在各供应商名称下方的空白处根据所列示的“商务内容”标明“是/否”。</w:t>
            </w:r>
          </w:p>
          <w:p w14:paraId="6408FE26">
            <w:pP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</w:p>
          <w:p w14:paraId="480AD2EB">
            <w:pP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  <w:t>评审小组：</w:t>
            </w:r>
          </w:p>
        </w:tc>
      </w:tr>
    </w:tbl>
    <w:p w14:paraId="5B82A8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943CF"/>
    <w:rsid w:val="02DB1064"/>
    <w:rsid w:val="16D16A4B"/>
    <w:rsid w:val="1C3278BC"/>
    <w:rsid w:val="20095092"/>
    <w:rsid w:val="2AFD73C3"/>
    <w:rsid w:val="36FF3742"/>
    <w:rsid w:val="438943CF"/>
    <w:rsid w:val="504B0B57"/>
    <w:rsid w:val="56FE4CFB"/>
    <w:rsid w:val="5B9E6FE5"/>
    <w:rsid w:val="5D5F4C15"/>
    <w:rsid w:val="68DE6680"/>
    <w:rsid w:val="728E28B1"/>
    <w:rsid w:val="7AB55659"/>
    <w:rsid w:val="7CB43C54"/>
    <w:rsid w:val="7F5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after="100" w:afterLines="100" w:line="360" w:lineRule="auto"/>
      <w:jc w:val="center"/>
      <w:outlineLvl w:val="0"/>
    </w:pPr>
    <w:rPr>
      <w:rFonts w:ascii="Calibri" w:hAnsi="Calibri" w:eastAsia="黑体" w:cs="Times New Roman"/>
      <w:b/>
      <w:kern w:val="44"/>
      <w:sz w:val="32"/>
      <w:szCs w:val="36"/>
    </w:rPr>
  </w:style>
  <w:style w:type="paragraph" w:styleId="3">
    <w:name w:val="heading 2"/>
    <w:basedOn w:val="2"/>
    <w:next w:val="4"/>
    <w:link w:val="8"/>
    <w:semiHidden/>
    <w:unhideWhenUsed/>
    <w:qFormat/>
    <w:uiPriority w:val="0"/>
    <w:pPr>
      <w:jc w:val="left"/>
      <w:outlineLvl w:val="1"/>
      <w:pPrChange w:id="0" w:author="李豪。。" w:date="2023-03-30T16:44:00Z">
        <w:pPr>
          <w:keepNext/>
          <w:keepLines/>
          <w:widowControl w:val="0"/>
          <w:spacing w:before="260" w:after="260" w:line="416" w:lineRule="auto"/>
          <w:jc w:val="both"/>
          <w:outlineLvl w:val="1"/>
        </w:pPr>
      </w:pPrChange>
    </w:pPr>
    <w:rPr>
      <w:rFonts w:asciiTheme="majorAscii" w:hAnsiTheme="majorAscii" w:cstheme="majorBidi"/>
      <w:bCs/>
      <w:sz w:val="28"/>
      <w:szCs w:val="28"/>
      <w:rPrChange w:id="1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after="100" w:afterLines="100" w:line="360" w:lineRule="auto"/>
      <w:jc w:val="left"/>
      <w:outlineLvl w:val="2"/>
      <w:pPrChange w:id="2" w:author="李豪。。" w:date="2023-03-30T16:51:00Z">
        <w:pPr>
          <w:keepNext/>
          <w:keepLines/>
          <w:widowControl w:val="0"/>
          <w:spacing w:before="260" w:after="260" w:line="416" w:lineRule="auto"/>
          <w:jc w:val="both"/>
          <w:outlineLvl w:val="2"/>
        </w:pPr>
      </w:pPrChange>
    </w:pPr>
    <w:rPr>
      <w:rFonts w:ascii="Calibri" w:hAnsi="Calibri" w:eastAsia="黑体" w:cs="Times New Roman"/>
      <w:b/>
      <w:bCs/>
      <w:kern w:val="32"/>
      <w:sz w:val="28"/>
      <w:szCs w:val="32"/>
      <w:rPrChange w:id="3" w:author="豪 李 [2]" w:date="2023-03-30T16:51:00Z">
        <w:rPr>
          <w:rFonts w:ascii="Calibri" w:hAnsi="Calibri" w:eastAsia="黑体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2 字符"/>
    <w:link w:val="3"/>
    <w:uiPriority w:val="0"/>
    <w:rPr>
      <w:rFonts w:eastAsia="黑体" w:asciiTheme="majorAscii" w:hAnsiTheme="majorAscii" w:cstheme="majorBidi"/>
      <w:b/>
      <w:bCs/>
      <w:sz w:val="28"/>
      <w:szCs w:val="28"/>
      <w:rPrChange w:id="4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customStyle="1" w:styleId="9">
    <w:name w:val="标题 1 字符"/>
    <w:basedOn w:val="7"/>
    <w:link w:val="2"/>
    <w:qFormat/>
    <w:uiPriority w:val="0"/>
    <w:rPr>
      <w:rFonts w:ascii="Calibri" w:hAnsi="Calibri" w:eastAsia="黑体" w:cs="Times New Roman"/>
      <w:b/>
      <w:kern w:val="44"/>
      <w:sz w:val="32"/>
      <w:szCs w:val="24"/>
    </w:rPr>
  </w:style>
  <w:style w:type="character" w:customStyle="1" w:styleId="10">
    <w:name w:val="标题 3 字符"/>
    <w:basedOn w:val="7"/>
    <w:link w:val="4"/>
    <w:qFormat/>
    <w:uiPriority w:val="0"/>
    <w:rPr>
      <w:rFonts w:ascii="Calibri" w:hAnsi="Calibri" w:eastAsia="黑体" w:cs="Times New Roman"/>
      <w:b/>
      <w:bCs/>
      <w:kern w:val="32"/>
      <w:sz w:val="28"/>
      <w:szCs w:val="32"/>
    </w:rPr>
  </w:style>
  <w:style w:type="paragraph" w:customStyle="1" w:styleId="11">
    <w:name w:val="表格"/>
    <w:basedOn w:val="1"/>
    <w:qFormat/>
    <w:uiPriority w:val="0"/>
    <w:pPr>
      <w:adjustRightInd w:val="0"/>
      <w:snapToGrid w:val="0"/>
      <w:jc w:val="center"/>
    </w:pPr>
    <w:rPr>
      <w:rFonts w:hint="eastAsia" w:ascii="楷体_GB2312" w:hAnsi="楷体_GB2312" w:eastAsia="楷体_GB2312"/>
      <w:b/>
      <w:sz w:val="44"/>
      <w:szCs w:val="44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2024-11-06T08:25:00Z</dcterms:created>
  <dc:creator>湛江诚通</dc:creator>
  <cp:lastModifiedBy>湛江诚通</cp:lastModifiedBy>
  <dcterms:modified xsi:type="dcterms:W3CDTF">2024-11-06T08:27:10Z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A88DF3D0AC904DA0BDC7093BCB7C3D3E_11</vt:lpwstr>
  </property>
</Properties>
</file>