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30"/>
        <w:gridCol w:w="1636"/>
        <w:gridCol w:w="1610"/>
        <w:gridCol w:w="1750"/>
        <w:gridCol w:w="1600"/>
        <w:gridCol w:w="1864"/>
      </w:tblGrid>
      <w:tr w14:paraId="36F0B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 w14:paraId="3B5126A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ottom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附件4</w:t>
            </w:r>
          </w:p>
        </w:tc>
        <w:tc>
          <w:tcPr>
            <w:tcW w:w="4630" w:type="dxa"/>
            <w:shd w:val="clear" w:color="auto" w:fill="auto"/>
            <w:noWrap/>
            <w:vAlign w:val="bottom"/>
          </w:tcPr>
          <w:p w14:paraId="3345A8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25153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610" w:type="dxa"/>
            <w:shd w:val="clear" w:color="auto" w:fill="auto"/>
            <w:noWrap/>
            <w:vAlign w:val="bottom"/>
          </w:tcPr>
          <w:p w14:paraId="550FC6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</w:tcPr>
          <w:p w14:paraId="594417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24503E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3573CF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</w:tr>
      <w:tr w14:paraId="21CB2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170" w:type="dxa"/>
            <w:gridSpan w:val="7"/>
            <w:vMerge w:val="restart"/>
            <w:shd w:val="clear" w:color="auto" w:fill="auto"/>
            <w:vAlign w:val="center"/>
          </w:tcPr>
          <w:p w14:paraId="4B734F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</w:rPr>
            </w:pPr>
            <w:bookmarkStart w:id="0" w:name="_GoBack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6"/>
                <w:szCs w:val="36"/>
                <w:lang w:bidi="ar"/>
              </w:rPr>
              <w:t>湛江诚通综合物流园项目（二期）</w:t>
            </w:r>
            <w:r>
              <w:rPr>
                <w:rFonts w:hint="eastAsia" w:cs="宋体" w:asciiTheme="minorEastAsia" w:hAnsiTheme="minorEastAsia" w:eastAsiaTheme="minorEastAsia"/>
                <w:sz w:val="36"/>
                <w:szCs w:val="36"/>
                <w:lang w:bidi="ar"/>
              </w:rPr>
              <w:t>水土保持（方案编制及验收阶段）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6"/>
                <w:szCs w:val="36"/>
                <w:lang w:bidi="ar"/>
              </w:rPr>
              <w:t>工作技术偏离情况表</w:t>
            </w:r>
            <w:bookmarkEnd w:id="0"/>
          </w:p>
        </w:tc>
      </w:tr>
      <w:tr w14:paraId="58F6B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170" w:type="dxa"/>
            <w:gridSpan w:val="7"/>
            <w:vMerge w:val="continue"/>
            <w:shd w:val="clear" w:color="auto" w:fill="auto"/>
            <w:vAlign w:val="center"/>
          </w:tcPr>
          <w:p w14:paraId="0A2C1A39">
            <w:pPr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2341E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F7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  <w:lang w:bidi="ar"/>
              </w:rPr>
            </w:pPr>
          </w:p>
          <w:p w14:paraId="2F513EA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-115570</wp:posOffset>
                      </wp:positionV>
                      <wp:extent cx="2828925" cy="447675"/>
                      <wp:effectExtent l="635" t="4445" r="8890" b="5080"/>
                      <wp:wrapNone/>
                      <wp:docPr id="5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4476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7" o:spid="_x0000_s1026" o:spt="20" style="position:absolute;left:0pt;margin-left:52.95pt;margin-top:-9.1pt;height:35.25pt;width:222.75pt;z-index:251659264;mso-width-relative:page;mso-height-relative:page;" filled="f" stroked="t" coordsize="21600,21600" o:gfxdata="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ctzRXZAAAACgEAAA8AAAAAAAAAAQAgAAAAIgAAAGRycy9kb3ducmV2LnhtbFBLAQIUABQA&#10;AAAIAIdO4kC8tei/7wEAANwDAAAOAAAAAAAAAAEAIAAAACgBAABkcnMvZTJvRG9jLnhtbFBLBQYA&#10;AAAABgAGAFkBAACJBQ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66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 xml:space="preserve">      </w:t>
            </w:r>
          </w:p>
          <w:p w14:paraId="5448B55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48260</wp:posOffset>
                      </wp:positionV>
                      <wp:extent cx="857885" cy="304800"/>
                      <wp:effectExtent l="0" t="0" r="18415" b="0"/>
                      <wp:wrapNone/>
                      <wp:docPr id="4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8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FB9697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lang w:bidi="ar"/>
                                    </w:rPr>
                                    <w:t>技术内容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4.7pt;margin-top:3.8pt;height:24pt;width:67.55pt;z-index:251660288;mso-width-relative:page;mso-height-relative:page;" fillcolor="#FFFFFF" filled="t" stroked="f" coordsize="21600,21600" o:gfxdata="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dzh1fRAAAABgEAAA8AAAAAAAAAAQAgAAAAIgAAAGRy&#10;cy9kb3ducmV2LnhtbFBLAQIUABQAAAAIAIdO4kBHU3WN0wEAAI0DAAAOAAAAAAAAAAEAIAAAACAB&#10;AABkcnMvZTJvRG9jLnhtbFBLBQYAAAAABgAGAFkBAABl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CFB9697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  <w:t>技术内容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 xml:space="preserve"> 供应商名称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60F6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006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3543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6B3C6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3F9DA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605FD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11D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1B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拟派项目服务人员组成及主要人员简历是否符合项目需求，其资质证书复印件是否齐全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52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3F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12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D4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54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</w:tr>
      <w:tr w14:paraId="1098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83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98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技术方案是否响应采购人服务需求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B8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FF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A3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31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48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</w:tr>
      <w:tr w14:paraId="31E94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396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0FBE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ottom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工期及服务期限是否响应询比价公告及合同相关规定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045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50E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8BA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AA75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1A95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</w:tr>
      <w:tr w14:paraId="06E91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A8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结论</w:t>
            </w:r>
          </w:p>
        </w:tc>
        <w:tc>
          <w:tcPr>
            <w:tcW w:w="11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0313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4"/>
                <w:lang w:bidi="ar"/>
              </w:rPr>
            </w:pPr>
          </w:p>
          <w:p w14:paraId="69070D7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存在技术偏离情况的供应商有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Style w:val="11"/>
                <w:rFonts w:hint="default" w:asciiTheme="minorEastAsia" w:hAnsiTheme="minorEastAsia" w:eastAsiaTheme="minorEastAsia"/>
                <w:color w:val="auto"/>
                <w:lang w:bidi="ar"/>
              </w:rPr>
              <w:t>家（如有，请在备注处分别列明），其余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Style w:val="11"/>
                <w:rFonts w:hint="default" w:asciiTheme="minorEastAsia" w:hAnsiTheme="minorEastAsia" w:eastAsiaTheme="minorEastAsia"/>
                <w:color w:val="auto"/>
                <w:lang w:bidi="ar"/>
              </w:rPr>
              <w:t>家均无技术偏离。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D62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</w:tr>
      <w:tr w14:paraId="26A52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70" w:type="dxa"/>
            <w:gridSpan w:val="7"/>
            <w:shd w:val="clear" w:color="auto" w:fill="auto"/>
            <w:noWrap/>
            <w:vAlign w:val="bottom"/>
          </w:tcPr>
          <w:p w14:paraId="37C666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注：1.请评审人在各供应商名称下方的空白处根据所列示的“技术内容”标明“是/否”；</w:t>
            </w:r>
          </w:p>
          <w:p w14:paraId="51683AD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 xml:space="preserve">    2.供应商在报价文件中未对询比价公告及合同条款有异议，视为响应。</w:t>
            </w:r>
          </w:p>
        </w:tc>
      </w:tr>
      <w:tr w14:paraId="0262D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0" w:type="dxa"/>
            <w:gridSpan w:val="7"/>
            <w:shd w:val="clear" w:color="auto" w:fill="auto"/>
            <w:noWrap/>
            <w:vAlign w:val="bottom"/>
          </w:tcPr>
          <w:p w14:paraId="283488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评审小组：</w:t>
            </w:r>
          </w:p>
        </w:tc>
      </w:tr>
    </w:tbl>
    <w:p w14:paraId="684703D0">
      <w:pPr>
        <w:adjustRightInd w:val="0"/>
        <w:snapToGrid w:val="0"/>
        <w:spacing w:line="560" w:lineRule="exact"/>
        <w:rPr>
          <w:rFonts w:hint="eastAsia" w:asciiTheme="minorEastAsia" w:hAnsiTheme="minorEastAsia" w:eastAsiaTheme="minorEastAsia"/>
          <w:color w:val="00000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1C3D45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21F30"/>
    <w:rsid w:val="02DB1064"/>
    <w:rsid w:val="16D16A4B"/>
    <w:rsid w:val="1C3278BC"/>
    <w:rsid w:val="20095092"/>
    <w:rsid w:val="22221F30"/>
    <w:rsid w:val="2AFD73C3"/>
    <w:rsid w:val="36FF3742"/>
    <w:rsid w:val="504B0B57"/>
    <w:rsid w:val="56FE4CFB"/>
    <w:rsid w:val="5B9E6FE5"/>
    <w:rsid w:val="5D5F4C15"/>
    <w:rsid w:val="68DE6680"/>
    <w:rsid w:val="728E28B1"/>
    <w:rsid w:val="7AB55659"/>
    <w:rsid w:val="7CB43C54"/>
    <w:rsid w:val="7F5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after="100" w:afterLines="100" w:line="360" w:lineRule="auto"/>
      <w:jc w:val="center"/>
      <w:outlineLvl w:val="0"/>
    </w:pPr>
    <w:rPr>
      <w:rFonts w:ascii="Calibri" w:hAnsi="Calibri" w:eastAsia="黑体" w:cs="Times New Roman"/>
      <w:b/>
      <w:kern w:val="44"/>
      <w:sz w:val="32"/>
      <w:szCs w:val="36"/>
    </w:rPr>
  </w:style>
  <w:style w:type="paragraph" w:styleId="3">
    <w:name w:val="heading 2"/>
    <w:basedOn w:val="2"/>
    <w:next w:val="4"/>
    <w:link w:val="7"/>
    <w:semiHidden/>
    <w:unhideWhenUsed/>
    <w:qFormat/>
    <w:uiPriority w:val="0"/>
    <w:pPr>
      <w:jc w:val="left"/>
      <w:outlineLvl w:val="1"/>
      <w:pPrChange w:id="0" w:author="李豪。。" w:date="2023-03-30T16:44:00Z">
        <w:pPr>
          <w:keepNext/>
          <w:keepLines/>
          <w:widowControl w:val="0"/>
          <w:spacing w:before="260" w:after="260" w:line="416" w:lineRule="auto"/>
          <w:jc w:val="both"/>
          <w:outlineLvl w:val="1"/>
        </w:pPr>
      </w:pPrChange>
    </w:pPr>
    <w:rPr>
      <w:rFonts w:asciiTheme="majorAscii" w:hAnsiTheme="majorAscii" w:cstheme="majorBidi"/>
      <w:bCs/>
      <w:sz w:val="28"/>
      <w:szCs w:val="28"/>
      <w:rPrChange w:id="1" w:author="阿坚：人在旅途" w:date="2023-03-30T16:44:00Z">
        <w:rPr>
          <w:rFonts w:eastAsia="黑体" w:asciiTheme="majorHAnsi" w:hAnsiTheme="majorHAnsi" w:cstheme="majorBidi"/>
          <w:b/>
          <w:bCs/>
          <w:kern w:val="32"/>
          <w:sz w:val="28"/>
          <w:szCs w:val="32"/>
          <w:lang w:val="en-US" w:eastAsia="zh-CN" w:bidi="ar-SA"/>
        </w:rPr>
      </w:rPrChange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after="100" w:afterLines="100" w:line="360" w:lineRule="auto"/>
      <w:jc w:val="left"/>
      <w:outlineLvl w:val="2"/>
      <w:pPrChange w:id="2" w:author="李豪。。" w:date="2023-03-30T16:51:00Z">
        <w:pPr>
          <w:keepNext/>
          <w:keepLines/>
          <w:widowControl w:val="0"/>
          <w:spacing w:before="260" w:after="260" w:line="416" w:lineRule="auto"/>
          <w:jc w:val="both"/>
          <w:outlineLvl w:val="2"/>
        </w:pPr>
      </w:pPrChange>
    </w:pPr>
    <w:rPr>
      <w:rFonts w:ascii="Calibri" w:hAnsi="Calibri" w:eastAsia="黑体" w:cs="Times New Roman"/>
      <w:b/>
      <w:bCs/>
      <w:kern w:val="32"/>
      <w:sz w:val="28"/>
      <w:szCs w:val="32"/>
      <w:rPrChange w:id="3" w:author="豪 李 [2]" w:date="2023-03-30T16:51:00Z">
        <w:rPr>
          <w:rFonts w:ascii="Calibri" w:hAnsi="Calibri" w:eastAsia="黑体"/>
          <w:b/>
          <w:bCs/>
          <w:kern w:val="32"/>
          <w:sz w:val="28"/>
          <w:szCs w:val="32"/>
          <w:lang w:val="en-US" w:eastAsia="zh-CN" w:bidi="ar-SA"/>
        </w:rPr>
      </w:rPrChange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字符"/>
    <w:link w:val="3"/>
    <w:uiPriority w:val="0"/>
    <w:rPr>
      <w:rFonts w:eastAsia="黑体" w:asciiTheme="majorAscii" w:hAnsiTheme="majorAscii" w:cstheme="majorBidi"/>
      <w:b/>
      <w:bCs/>
      <w:sz w:val="28"/>
      <w:szCs w:val="28"/>
      <w:rPrChange w:id="4" w:author="阿坚：人在旅途" w:date="2023-03-30T16:44:00Z">
        <w:rPr>
          <w:rFonts w:eastAsia="黑体" w:asciiTheme="majorHAnsi" w:hAnsiTheme="majorHAnsi" w:cstheme="majorBidi"/>
          <w:b/>
          <w:bCs/>
          <w:kern w:val="32"/>
          <w:sz w:val="28"/>
          <w:szCs w:val="32"/>
          <w:lang w:val="en-US" w:eastAsia="zh-CN" w:bidi="ar-SA"/>
        </w:rPr>
      </w:rPrChange>
    </w:rPr>
  </w:style>
  <w:style w:type="character" w:customStyle="1" w:styleId="8">
    <w:name w:val="标题 1 字符"/>
    <w:basedOn w:val="6"/>
    <w:link w:val="2"/>
    <w:qFormat/>
    <w:uiPriority w:val="0"/>
    <w:rPr>
      <w:rFonts w:ascii="Calibri" w:hAnsi="Calibri" w:eastAsia="黑体" w:cs="Times New Roman"/>
      <w:b/>
      <w:kern w:val="44"/>
      <w:sz w:val="32"/>
      <w:szCs w:val="24"/>
    </w:rPr>
  </w:style>
  <w:style w:type="character" w:customStyle="1" w:styleId="9">
    <w:name w:val="标题 3 字符"/>
    <w:basedOn w:val="6"/>
    <w:link w:val="4"/>
    <w:qFormat/>
    <w:uiPriority w:val="0"/>
    <w:rPr>
      <w:rFonts w:ascii="Calibri" w:hAnsi="Calibri" w:eastAsia="黑体" w:cs="Times New Roman"/>
      <w:b/>
      <w:bCs/>
      <w:kern w:val="32"/>
      <w:sz w:val="28"/>
      <w:szCs w:val="32"/>
    </w:rPr>
  </w:style>
  <w:style w:type="paragraph" w:customStyle="1" w:styleId="10">
    <w:name w:val="表格"/>
    <w:basedOn w:val="1"/>
    <w:qFormat/>
    <w:uiPriority w:val="0"/>
    <w:pPr>
      <w:adjustRightInd w:val="0"/>
      <w:snapToGrid w:val="0"/>
      <w:jc w:val="center"/>
    </w:pPr>
    <w:rPr>
      <w:rFonts w:hint="eastAsia" w:ascii="楷体_GB2312" w:hAnsi="楷体_GB2312" w:eastAsia="楷体_GB2312"/>
      <w:b/>
      <w:sz w:val="44"/>
      <w:szCs w:val="44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2024-11-06T08:27:00Z</dcterms:created>
  <dc:creator>湛江诚通</dc:creator>
  <cp:lastModifiedBy>湛江诚通</cp:lastModifiedBy>
  <dcterms:modified xsi:type="dcterms:W3CDTF">2024-11-06T08:28:26Z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9361CEBC11E9439697FF1EB7C5935218_11</vt:lpwstr>
  </property>
</Properties>
</file>